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724FAB">
        <w:tc>
          <w:tcPr>
            <w:tcW w:w="9209" w:type="dxa"/>
            <w:gridSpan w:val="4"/>
          </w:tcPr>
          <w:p w:rsidR="00F678F4" w:rsidRDefault="00F678F4" w:rsidP="00724FAB">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1C7459" w:rsidP="00AC290E">
            <w:pPr>
              <w:rPr>
                <w:b/>
                <w:sz w:val="20"/>
                <w:szCs w:val="20"/>
              </w:rPr>
            </w:pPr>
            <w:r>
              <w:rPr>
                <w:b/>
                <w:sz w:val="20"/>
                <w:szCs w:val="20"/>
              </w:rPr>
              <w:t>BOP 029</w:t>
            </w:r>
          </w:p>
        </w:tc>
      </w:tr>
      <w:tr w:rsidR="00F678F4" w:rsidTr="00724FAB">
        <w:tc>
          <w:tcPr>
            <w:tcW w:w="3256" w:type="dxa"/>
            <w:tcBorders>
              <w:bottom w:val="single" w:sz="4" w:space="0" w:color="auto"/>
            </w:tcBorders>
          </w:tcPr>
          <w:p w:rsidR="00F678F4" w:rsidRDefault="00F678F4" w:rsidP="00724FAB">
            <w:pPr>
              <w:rPr>
                <w:sz w:val="20"/>
                <w:szCs w:val="20"/>
              </w:rPr>
            </w:pPr>
            <w:r w:rsidRPr="00B25405">
              <w:rPr>
                <w:sz w:val="20"/>
                <w:szCs w:val="20"/>
              </w:rPr>
              <w:t>Service name</w:t>
            </w:r>
          </w:p>
          <w:p w:rsidR="006508FB" w:rsidRDefault="006508FB" w:rsidP="00724FAB">
            <w:pPr>
              <w:rPr>
                <w:sz w:val="20"/>
                <w:szCs w:val="20"/>
              </w:rPr>
            </w:pPr>
          </w:p>
          <w:p w:rsidR="006508FB" w:rsidRDefault="006508FB" w:rsidP="006508FB">
            <w:pPr>
              <w:rPr>
                <w:rFonts w:ascii="Calibri" w:hAnsi="Calibri"/>
                <w:color w:val="000000"/>
              </w:rPr>
            </w:pPr>
            <w:r>
              <w:rPr>
                <w:rFonts w:ascii="Calibri" w:hAnsi="Calibri"/>
                <w:color w:val="000000"/>
              </w:rPr>
              <w:t>SCHOOL TRANSPORT</w:t>
            </w:r>
            <w:r w:rsidR="00A92244">
              <w:rPr>
                <w:rFonts w:ascii="Calibri" w:hAnsi="Calibri"/>
                <w:color w:val="000000"/>
              </w:rPr>
              <w:t xml:space="preserve"> (BBR 076)</w:t>
            </w:r>
          </w:p>
          <w:p w:rsidR="006508FB" w:rsidRPr="00B25405" w:rsidRDefault="006508FB" w:rsidP="00724FAB">
            <w:pPr>
              <w:rPr>
                <w:sz w:val="20"/>
                <w:szCs w:val="20"/>
              </w:rPr>
            </w:pPr>
          </w:p>
        </w:tc>
        <w:tc>
          <w:tcPr>
            <w:tcW w:w="5953" w:type="dxa"/>
            <w:gridSpan w:val="3"/>
            <w:tcBorders>
              <w:bottom w:val="single" w:sz="4" w:space="0" w:color="auto"/>
            </w:tcBorders>
          </w:tcPr>
          <w:p w:rsidR="00F678F4" w:rsidRPr="00B25405" w:rsidRDefault="00F678F4" w:rsidP="00AC2618">
            <w:pPr>
              <w:rPr>
                <w:sz w:val="20"/>
                <w:szCs w:val="20"/>
              </w:rPr>
            </w:pPr>
            <w:r w:rsidRPr="007D6DAD">
              <w:rPr>
                <w:sz w:val="20"/>
                <w:szCs w:val="20"/>
              </w:rPr>
              <w:t>Service description</w:t>
            </w:r>
            <w:r w:rsidR="00724FAB">
              <w:rPr>
                <w:sz w:val="20"/>
                <w:szCs w:val="20"/>
              </w:rPr>
              <w:t xml:space="preserve"> </w:t>
            </w:r>
            <w:r w:rsidR="00925AF1">
              <w:rPr>
                <w:sz w:val="20"/>
                <w:szCs w:val="20"/>
              </w:rPr>
              <w:t xml:space="preserve">– </w:t>
            </w:r>
            <w:r w:rsidR="00AC2618">
              <w:rPr>
                <w:sz w:val="20"/>
                <w:szCs w:val="20"/>
              </w:rPr>
              <w:t xml:space="preserve">please </w:t>
            </w:r>
            <w:r w:rsidR="00925AF1">
              <w:rPr>
                <w:sz w:val="20"/>
                <w:szCs w:val="20"/>
              </w:rPr>
              <w:t xml:space="preserve">see </w:t>
            </w:r>
            <w:r w:rsidR="00AC2618">
              <w:rPr>
                <w:sz w:val="20"/>
                <w:szCs w:val="20"/>
              </w:rPr>
              <w:t>below</w:t>
            </w:r>
            <w:r w:rsidRPr="007D6DAD">
              <w:rPr>
                <w:sz w:val="20"/>
                <w:szCs w:val="20"/>
              </w:rPr>
              <w:br/>
            </w:r>
          </w:p>
        </w:tc>
      </w:tr>
      <w:tr w:rsidR="00F678F4" w:rsidTr="00724FAB">
        <w:tc>
          <w:tcPr>
            <w:tcW w:w="3256" w:type="dxa"/>
            <w:tcBorders>
              <w:bottom w:val="nil"/>
            </w:tcBorders>
          </w:tcPr>
          <w:p w:rsidR="00F678F4" w:rsidRPr="00B25405" w:rsidRDefault="00F678F4" w:rsidP="00724FAB">
            <w:pPr>
              <w:rPr>
                <w:sz w:val="20"/>
                <w:szCs w:val="20"/>
              </w:rPr>
            </w:pPr>
          </w:p>
        </w:tc>
        <w:tc>
          <w:tcPr>
            <w:tcW w:w="1984" w:type="dxa"/>
            <w:tcBorders>
              <w:bottom w:val="nil"/>
            </w:tcBorders>
          </w:tcPr>
          <w:p w:rsidR="00F678F4" w:rsidRPr="00084304" w:rsidRDefault="00F678F4" w:rsidP="00724FAB">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724FAB">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724FAB">
            <w:pPr>
              <w:jc w:val="center"/>
              <w:rPr>
                <w:b/>
                <w:sz w:val="20"/>
                <w:szCs w:val="20"/>
              </w:rPr>
            </w:pPr>
            <w:r w:rsidRPr="00084304">
              <w:rPr>
                <w:b/>
                <w:sz w:val="20"/>
                <w:szCs w:val="20"/>
              </w:rPr>
              <w:t>2017/18</w:t>
            </w:r>
          </w:p>
        </w:tc>
      </w:tr>
      <w:tr w:rsidR="00F678F4" w:rsidTr="00724FAB">
        <w:tc>
          <w:tcPr>
            <w:tcW w:w="3256" w:type="dxa"/>
            <w:tcBorders>
              <w:top w:val="nil"/>
              <w:bottom w:val="single" w:sz="4" w:space="0" w:color="auto"/>
            </w:tcBorders>
          </w:tcPr>
          <w:p w:rsidR="00F678F4" w:rsidRPr="00B25405" w:rsidRDefault="00F678F4" w:rsidP="00724FAB">
            <w:pPr>
              <w:rPr>
                <w:sz w:val="20"/>
                <w:szCs w:val="20"/>
              </w:rPr>
            </w:pPr>
          </w:p>
        </w:tc>
        <w:tc>
          <w:tcPr>
            <w:tcW w:w="1984" w:type="dxa"/>
            <w:tcBorders>
              <w:top w:val="nil"/>
              <w:bottom w:val="single" w:sz="4" w:space="0" w:color="auto"/>
            </w:tcBorders>
          </w:tcPr>
          <w:p w:rsidR="00F678F4" w:rsidRPr="00084304" w:rsidRDefault="00F678F4" w:rsidP="00724FAB">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724FAB">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724FAB">
            <w:pPr>
              <w:jc w:val="center"/>
              <w:rPr>
                <w:b/>
                <w:sz w:val="20"/>
                <w:szCs w:val="20"/>
              </w:rPr>
            </w:pPr>
            <w:r w:rsidRPr="00084304">
              <w:rPr>
                <w:b/>
                <w:sz w:val="20"/>
                <w:szCs w:val="20"/>
              </w:rPr>
              <w:t>£m</w:t>
            </w:r>
          </w:p>
        </w:tc>
      </w:tr>
      <w:tr w:rsidR="009B4996" w:rsidTr="00724FAB">
        <w:tc>
          <w:tcPr>
            <w:tcW w:w="3256" w:type="dxa"/>
            <w:tcBorders>
              <w:top w:val="nil"/>
              <w:bottom w:val="single" w:sz="4" w:space="0" w:color="auto"/>
            </w:tcBorders>
          </w:tcPr>
          <w:p w:rsidR="009B4996" w:rsidRPr="004D588F" w:rsidRDefault="009B4996" w:rsidP="009B4996">
            <w:pPr>
              <w:rPr>
                <w:sz w:val="20"/>
                <w:szCs w:val="20"/>
              </w:rPr>
            </w:pPr>
            <w:r>
              <w:rPr>
                <w:sz w:val="20"/>
                <w:szCs w:val="20"/>
              </w:rPr>
              <w:t>Forecast before savings</w:t>
            </w:r>
          </w:p>
        </w:tc>
        <w:tc>
          <w:tcPr>
            <w:tcW w:w="1984" w:type="dxa"/>
            <w:tcBorders>
              <w:top w:val="nil"/>
              <w:bottom w:val="single" w:sz="4" w:space="0" w:color="auto"/>
            </w:tcBorders>
          </w:tcPr>
          <w:p w:rsidR="009B4996" w:rsidRPr="00F32F81" w:rsidRDefault="009B4996" w:rsidP="009B4996">
            <w:pPr>
              <w:jc w:val="right"/>
              <w:rPr>
                <w:sz w:val="20"/>
                <w:szCs w:val="20"/>
              </w:rPr>
            </w:pPr>
            <w:r w:rsidRPr="00FB7ABB">
              <w:rPr>
                <w:noProof/>
                <w:sz w:val="20"/>
                <w:szCs w:val="20"/>
              </w:rPr>
              <w:t>5.519</w:t>
            </w:r>
          </w:p>
        </w:tc>
        <w:tc>
          <w:tcPr>
            <w:tcW w:w="1843" w:type="dxa"/>
            <w:tcBorders>
              <w:top w:val="nil"/>
              <w:bottom w:val="single" w:sz="4" w:space="0" w:color="auto"/>
            </w:tcBorders>
          </w:tcPr>
          <w:p w:rsidR="009B4996" w:rsidRPr="00F32F81" w:rsidRDefault="009B4996" w:rsidP="009B4996">
            <w:pPr>
              <w:jc w:val="right"/>
              <w:rPr>
                <w:sz w:val="20"/>
                <w:szCs w:val="20"/>
              </w:rPr>
            </w:pPr>
            <w:r w:rsidRPr="00FB7ABB">
              <w:rPr>
                <w:noProof/>
                <w:sz w:val="20"/>
                <w:szCs w:val="20"/>
              </w:rPr>
              <w:t>6.140</w:t>
            </w:r>
          </w:p>
        </w:tc>
        <w:tc>
          <w:tcPr>
            <w:tcW w:w="2126" w:type="dxa"/>
            <w:tcBorders>
              <w:top w:val="nil"/>
              <w:bottom w:val="single" w:sz="4" w:space="0" w:color="auto"/>
            </w:tcBorders>
          </w:tcPr>
          <w:p w:rsidR="009B4996" w:rsidRPr="00F32F81" w:rsidRDefault="009B4996" w:rsidP="009B4996">
            <w:pPr>
              <w:jc w:val="right"/>
              <w:rPr>
                <w:sz w:val="20"/>
                <w:szCs w:val="20"/>
              </w:rPr>
            </w:pPr>
            <w:r w:rsidRPr="00FB7ABB">
              <w:rPr>
                <w:noProof/>
                <w:sz w:val="20"/>
                <w:szCs w:val="20"/>
              </w:rPr>
              <w:t>6.462</w:t>
            </w:r>
          </w:p>
        </w:tc>
      </w:tr>
      <w:tr w:rsidR="009B4996" w:rsidTr="00724FAB">
        <w:tc>
          <w:tcPr>
            <w:tcW w:w="3256" w:type="dxa"/>
            <w:shd w:val="clear" w:color="auto" w:fill="auto"/>
          </w:tcPr>
          <w:p w:rsidR="009B4996" w:rsidRDefault="009B4996" w:rsidP="009B4996">
            <w:pPr>
              <w:rPr>
                <w:sz w:val="20"/>
                <w:szCs w:val="20"/>
              </w:rPr>
            </w:pPr>
            <w:r>
              <w:rPr>
                <w:sz w:val="20"/>
                <w:szCs w:val="20"/>
              </w:rPr>
              <w:t>Budgeted savings (cumulative)</w:t>
            </w:r>
          </w:p>
        </w:tc>
        <w:tc>
          <w:tcPr>
            <w:tcW w:w="1984" w:type="dxa"/>
            <w:shd w:val="clear" w:color="auto" w:fill="auto"/>
          </w:tcPr>
          <w:p w:rsidR="009B4996" w:rsidRPr="00F32F81" w:rsidRDefault="009B4996" w:rsidP="009B4996">
            <w:pPr>
              <w:jc w:val="right"/>
              <w:rPr>
                <w:sz w:val="20"/>
                <w:szCs w:val="20"/>
              </w:rPr>
            </w:pPr>
            <w:r w:rsidRPr="00FB7ABB">
              <w:rPr>
                <w:noProof/>
                <w:sz w:val="20"/>
                <w:szCs w:val="20"/>
              </w:rPr>
              <w:t>-0.482</w:t>
            </w:r>
          </w:p>
        </w:tc>
        <w:tc>
          <w:tcPr>
            <w:tcW w:w="1843" w:type="dxa"/>
            <w:shd w:val="clear" w:color="auto" w:fill="auto"/>
          </w:tcPr>
          <w:p w:rsidR="009B4996" w:rsidRPr="00F32F81" w:rsidRDefault="009B4996" w:rsidP="009B4996">
            <w:pPr>
              <w:jc w:val="right"/>
              <w:rPr>
                <w:sz w:val="20"/>
                <w:szCs w:val="20"/>
              </w:rPr>
            </w:pPr>
            <w:r w:rsidRPr="00FB7ABB">
              <w:rPr>
                <w:noProof/>
                <w:sz w:val="20"/>
                <w:szCs w:val="20"/>
              </w:rPr>
              <w:t>-0.523</w:t>
            </w:r>
          </w:p>
        </w:tc>
        <w:tc>
          <w:tcPr>
            <w:tcW w:w="2126" w:type="dxa"/>
            <w:shd w:val="clear" w:color="auto" w:fill="auto"/>
          </w:tcPr>
          <w:p w:rsidR="009B4996" w:rsidRPr="00F32F81" w:rsidRDefault="009B4996" w:rsidP="009B4996">
            <w:pPr>
              <w:jc w:val="right"/>
              <w:rPr>
                <w:sz w:val="20"/>
                <w:szCs w:val="20"/>
              </w:rPr>
            </w:pPr>
            <w:r w:rsidRPr="00FB7ABB">
              <w:rPr>
                <w:noProof/>
                <w:sz w:val="20"/>
                <w:szCs w:val="20"/>
              </w:rPr>
              <w:t>-0.543</w:t>
            </w:r>
          </w:p>
        </w:tc>
      </w:tr>
      <w:tr w:rsidR="009B4996" w:rsidTr="00724FAB">
        <w:tc>
          <w:tcPr>
            <w:tcW w:w="3256" w:type="dxa"/>
          </w:tcPr>
          <w:p w:rsidR="009B4996" w:rsidRDefault="009B4996" w:rsidP="009B4996">
            <w:pPr>
              <w:rPr>
                <w:sz w:val="20"/>
                <w:szCs w:val="20"/>
              </w:rPr>
            </w:pPr>
            <w:r>
              <w:rPr>
                <w:sz w:val="20"/>
                <w:szCs w:val="20"/>
              </w:rPr>
              <w:t>Planned net expenditure</w:t>
            </w:r>
            <w:r w:rsidRPr="004D588F">
              <w:rPr>
                <w:sz w:val="20"/>
                <w:szCs w:val="20"/>
              </w:rPr>
              <w:t xml:space="preserve"> </w:t>
            </w:r>
          </w:p>
          <w:p w:rsidR="009B4996" w:rsidRDefault="009B4996" w:rsidP="009B4996">
            <w:pPr>
              <w:rPr>
                <w:sz w:val="20"/>
                <w:szCs w:val="20"/>
              </w:rPr>
            </w:pPr>
            <w:r w:rsidRPr="005B77F6">
              <w:rPr>
                <w:b/>
                <w:sz w:val="20"/>
                <w:szCs w:val="20"/>
              </w:rPr>
              <w:t>(Approved 2015 net budget)</w:t>
            </w:r>
          </w:p>
        </w:tc>
        <w:tc>
          <w:tcPr>
            <w:tcW w:w="1984" w:type="dxa"/>
            <w:tcBorders>
              <w:bottom w:val="single" w:sz="4" w:space="0" w:color="auto"/>
            </w:tcBorders>
          </w:tcPr>
          <w:p w:rsidR="009B4996" w:rsidRPr="00B25405" w:rsidRDefault="009B4996" w:rsidP="009B4996">
            <w:pPr>
              <w:jc w:val="right"/>
              <w:rPr>
                <w:sz w:val="20"/>
                <w:szCs w:val="20"/>
              </w:rPr>
            </w:pPr>
            <w:r w:rsidRPr="00FB7ABB">
              <w:rPr>
                <w:noProof/>
                <w:sz w:val="20"/>
                <w:szCs w:val="20"/>
              </w:rPr>
              <w:t>5.037</w:t>
            </w:r>
          </w:p>
        </w:tc>
        <w:tc>
          <w:tcPr>
            <w:tcW w:w="1843" w:type="dxa"/>
            <w:tcBorders>
              <w:bottom w:val="single" w:sz="4" w:space="0" w:color="auto"/>
            </w:tcBorders>
          </w:tcPr>
          <w:p w:rsidR="009B4996" w:rsidRPr="00B25405" w:rsidRDefault="009B4996" w:rsidP="009B4996">
            <w:pPr>
              <w:jc w:val="right"/>
              <w:rPr>
                <w:sz w:val="20"/>
                <w:szCs w:val="20"/>
              </w:rPr>
            </w:pPr>
            <w:r w:rsidRPr="00FB7ABB">
              <w:rPr>
                <w:noProof/>
                <w:sz w:val="20"/>
                <w:szCs w:val="20"/>
              </w:rPr>
              <w:t>5.617</w:t>
            </w:r>
          </w:p>
        </w:tc>
        <w:tc>
          <w:tcPr>
            <w:tcW w:w="2126" w:type="dxa"/>
            <w:tcBorders>
              <w:bottom w:val="single" w:sz="4" w:space="0" w:color="auto"/>
            </w:tcBorders>
          </w:tcPr>
          <w:p w:rsidR="009B4996" w:rsidRPr="00B25405" w:rsidRDefault="009B4996" w:rsidP="009B4996">
            <w:pPr>
              <w:jc w:val="right"/>
              <w:rPr>
                <w:sz w:val="20"/>
                <w:szCs w:val="20"/>
              </w:rPr>
            </w:pPr>
            <w:r w:rsidRPr="00FB7ABB">
              <w:rPr>
                <w:noProof/>
                <w:sz w:val="20"/>
                <w:szCs w:val="20"/>
              </w:rPr>
              <w:t>5.919</w:t>
            </w:r>
          </w:p>
        </w:tc>
      </w:tr>
      <w:tr w:rsidR="009B4996" w:rsidTr="00724FAB">
        <w:tc>
          <w:tcPr>
            <w:tcW w:w="3256" w:type="dxa"/>
            <w:tcBorders>
              <w:right w:val="single" w:sz="4" w:space="0" w:color="auto"/>
            </w:tcBorders>
            <w:shd w:val="clear" w:color="auto" w:fill="D9D9D9" w:themeFill="background1" w:themeFillShade="D9"/>
          </w:tcPr>
          <w:p w:rsidR="009B4996" w:rsidRPr="001774BD" w:rsidRDefault="009B4996" w:rsidP="009B4996">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4996" w:rsidRPr="00B25405" w:rsidRDefault="009B4996" w:rsidP="009B499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4996" w:rsidRPr="00B25405" w:rsidRDefault="009B4996" w:rsidP="009B4996">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4996" w:rsidRPr="00B25405" w:rsidRDefault="009B4996" w:rsidP="009B4996">
            <w:pPr>
              <w:jc w:val="right"/>
              <w:rPr>
                <w:sz w:val="20"/>
                <w:szCs w:val="20"/>
              </w:rPr>
            </w:pPr>
          </w:p>
        </w:tc>
      </w:tr>
      <w:tr w:rsidR="009B4996" w:rsidTr="00724FAB">
        <w:tc>
          <w:tcPr>
            <w:tcW w:w="3256" w:type="dxa"/>
            <w:tcBorders>
              <w:right w:val="single" w:sz="4" w:space="0" w:color="auto"/>
            </w:tcBorders>
          </w:tcPr>
          <w:p w:rsidR="009B4996" w:rsidRPr="00E43B74" w:rsidRDefault="009B4996" w:rsidP="009B4996">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0.000</w:t>
            </w:r>
          </w:p>
        </w:tc>
        <w:tc>
          <w:tcPr>
            <w:tcW w:w="1843"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p>
        </w:tc>
      </w:tr>
      <w:tr w:rsidR="009B4996" w:rsidTr="00724FAB">
        <w:tc>
          <w:tcPr>
            <w:tcW w:w="3256" w:type="dxa"/>
            <w:tcBorders>
              <w:right w:val="single" w:sz="4" w:space="0" w:color="auto"/>
            </w:tcBorders>
          </w:tcPr>
          <w:p w:rsidR="009B4996" w:rsidRPr="00EA1D7C" w:rsidRDefault="009B4996" w:rsidP="009B4996">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0.000</w:t>
            </w:r>
          </w:p>
        </w:tc>
      </w:tr>
      <w:tr w:rsidR="009B4996" w:rsidTr="00724FAB">
        <w:tc>
          <w:tcPr>
            <w:tcW w:w="3256" w:type="dxa"/>
            <w:tcBorders>
              <w:right w:val="single" w:sz="4" w:space="0" w:color="auto"/>
            </w:tcBorders>
          </w:tcPr>
          <w:p w:rsidR="009B4996" w:rsidRPr="00EA1D7C" w:rsidRDefault="009B4996" w:rsidP="009B4996">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-0.004</w:t>
            </w:r>
          </w:p>
        </w:tc>
        <w:tc>
          <w:tcPr>
            <w:tcW w:w="2126" w:type="dxa"/>
            <w:tcBorders>
              <w:top w:val="single" w:sz="4" w:space="0" w:color="auto"/>
              <w:left w:val="single" w:sz="4" w:space="0" w:color="auto"/>
              <w:bottom w:val="single" w:sz="4" w:space="0" w:color="auto"/>
              <w:right w:val="single" w:sz="4" w:space="0" w:color="auto"/>
            </w:tcBorders>
          </w:tcPr>
          <w:p w:rsidR="009B4996" w:rsidRPr="00B25405" w:rsidRDefault="009B4996" w:rsidP="009B4996">
            <w:pPr>
              <w:jc w:val="right"/>
              <w:rPr>
                <w:sz w:val="20"/>
                <w:szCs w:val="20"/>
              </w:rPr>
            </w:pPr>
            <w:r w:rsidRPr="00FB7ABB">
              <w:rPr>
                <w:noProof/>
                <w:sz w:val="20"/>
                <w:szCs w:val="20"/>
              </w:rPr>
              <w:t>-0.008</w:t>
            </w:r>
          </w:p>
        </w:tc>
      </w:tr>
      <w:tr w:rsidR="009B4996" w:rsidTr="00724FAB">
        <w:tc>
          <w:tcPr>
            <w:tcW w:w="3256" w:type="dxa"/>
            <w:shd w:val="clear" w:color="auto" w:fill="auto"/>
          </w:tcPr>
          <w:p w:rsidR="009B4996" w:rsidRPr="004D588F" w:rsidRDefault="009B4996" w:rsidP="009B4996">
            <w:pPr>
              <w:rPr>
                <w:sz w:val="20"/>
                <w:szCs w:val="20"/>
              </w:rPr>
            </w:pPr>
            <w:r>
              <w:rPr>
                <w:sz w:val="20"/>
                <w:szCs w:val="20"/>
              </w:rPr>
              <w:t>Undeliverable savings (cumulative)</w:t>
            </w:r>
          </w:p>
        </w:tc>
        <w:tc>
          <w:tcPr>
            <w:tcW w:w="1984" w:type="dxa"/>
            <w:shd w:val="clear" w:color="auto" w:fill="auto"/>
          </w:tcPr>
          <w:p w:rsidR="009B4996" w:rsidRPr="00C844FA" w:rsidRDefault="009B4996" w:rsidP="009B4996">
            <w:pPr>
              <w:jc w:val="right"/>
              <w:rPr>
                <w:sz w:val="20"/>
                <w:szCs w:val="20"/>
              </w:rPr>
            </w:pPr>
            <w:r w:rsidRPr="00FB7ABB">
              <w:rPr>
                <w:noProof/>
                <w:sz w:val="20"/>
                <w:szCs w:val="20"/>
              </w:rPr>
              <w:t>0.000</w:t>
            </w:r>
          </w:p>
        </w:tc>
        <w:tc>
          <w:tcPr>
            <w:tcW w:w="1843" w:type="dxa"/>
            <w:shd w:val="clear" w:color="auto" w:fill="auto"/>
          </w:tcPr>
          <w:p w:rsidR="009B4996" w:rsidRPr="00C844FA" w:rsidRDefault="009B4996" w:rsidP="009B4996">
            <w:pPr>
              <w:jc w:val="right"/>
              <w:rPr>
                <w:sz w:val="20"/>
                <w:szCs w:val="20"/>
              </w:rPr>
            </w:pPr>
            <w:r w:rsidRPr="00FB7ABB">
              <w:rPr>
                <w:noProof/>
                <w:sz w:val="20"/>
                <w:szCs w:val="20"/>
              </w:rPr>
              <w:t>0.000</w:t>
            </w:r>
          </w:p>
        </w:tc>
        <w:tc>
          <w:tcPr>
            <w:tcW w:w="2126" w:type="dxa"/>
            <w:shd w:val="clear" w:color="auto" w:fill="auto"/>
          </w:tcPr>
          <w:p w:rsidR="009B4996" w:rsidRPr="00C844FA" w:rsidRDefault="009B4996" w:rsidP="009B4996">
            <w:pPr>
              <w:jc w:val="right"/>
              <w:rPr>
                <w:sz w:val="20"/>
                <w:szCs w:val="20"/>
              </w:rPr>
            </w:pPr>
            <w:r w:rsidRPr="00FB7ABB">
              <w:rPr>
                <w:noProof/>
                <w:sz w:val="20"/>
                <w:szCs w:val="20"/>
              </w:rPr>
              <w:t>0.000</w:t>
            </w:r>
          </w:p>
        </w:tc>
      </w:tr>
      <w:tr w:rsidR="009B4996" w:rsidTr="00724FAB">
        <w:tc>
          <w:tcPr>
            <w:tcW w:w="3256" w:type="dxa"/>
            <w:shd w:val="clear" w:color="auto" w:fill="auto"/>
          </w:tcPr>
          <w:p w:rsidR="009B4996" w:rsidRDefault="009B4996" w:rsidP="009B4996">
            <w:pPr>
              <w:rPr>
                <w:sz w:val="20"/>
                <w:szCs w:val="20"/>
              </w:rPr>
            </w:pPr>
            <w:r>
              <w:rPr>
                <w:sz w:val="20"/>
                <w:szCs w:val="20"/>
              </w:rPr>
              <w:t>Loss of grant (cumulative)</w:t>
            </w:r>
          </w:p>
        </w:tc>
        <w:tc>
          <w:tcPr>
            <w:tcW w:w="1984" w:type="dxa"/>
            <w:shd w:val="clear" w:color="auto" w:fill="auto"/>
          </w:tcPr>
          <w:p w:rsidR="009B4996" w:rsidRPr="00C844FA" w:rsidRDefault="009B4996" w:rsidP="009B4996">
            <w:pPr>
              <w:jc w:val="right"/>
              <w:rPr>
                <w:sz w:val="20"/>
                <w:szCs w:val="20"/>
              </w:rPr>
            </w:pPr>
            <w:r w:rsidRPr="00FB7ABB">
              <w:rPr>
                <w:noProof/>
                <w:sz w:val="20"/>
                <w:szCs w:val="20"/>
              </w:rPr>
              <w:t>0.000</w:t>
            </w:r>
          </w:p>
        </w:tc>
        <w:tc>
          <w:tcPr>
            <w:tcW w:w="1843" w:type="dxa"/>
            <w:shd w:val="clear" w:color="auto" w:fill="auto"/>
          </w:tcPr>
          <w:p w:rsidR="009B4996" w:rsidRPr="00C844FA" w:rsidRDefault="009B4996" w:rsidP="009B4996">
            <w:pPr>
              <w:jc w:val="right"/>
              <w:rPr>
                <w:sz w:val="20"/>
                <w:szCs w:val="20"/>
              </w:rPr>
            </w:pPr>
            <w:r w:rsidRPr="00FB7ABB">
              <w:rPr>
                <w:noProof/>
                <w:sz w:val="20"/>
                <w:szCs w:val="20"/>
              </w:rPr>
              <w:t>0.000</w:t>
            </w:r>
          </w:p>
        </w:tc>
        <w:tc>
          <w:tcPr>
            <w:tcW w:w="2126" w:type="dxa"/>
            <w:shd w:val="clear" w:color="auto" w:fill="auto"/>
          </w:tcPr>
          <w:p w:rsidR="009B4996" w:rsidRPr="00C844FA" w:rsidRDefault="009B4996" w:rsidP="009B4996">
            <w:pPr>
              <w:jc w:val="right"/>
              <w:rPr>
                <w:sz w:val="20"/>
                <w:szCs w:val="20"/>
              </w:rPr>
            </w:pPr>
            <w:r w:rsidRPr="00FB7ABB">
              <w:rPr>
                <w:noProof/>
                <w:sz w:val="20"/>
                <w:szCs w:val="20"/>
              </w:rPr>
              <w:t>0.000</w:t>
            </w:r>
          </w:p>
        </w:tc>
      </w:tr>
      <w:tr w:rsidR="009B4996" w:rsidTr="00724FAB">
        <w:tc>
          <w:tcPr>
            <w:tcW w:w="3256" w:type="dxa"/>
            <w:tcBorders>
              <w:bottom w:val="single" w:sz="4" w:space="0" w:color="auto"/>
            </w:tcBorders>
            <w:shd w:val="clear" w:color="auto" w:fill="BFBFBF" w:themeFill="background1" w:themeFillShade="BF"/>
          </w:tcPr>
          <w:p w:rsidR="009B4996" w:rsidRPr="00EA1D7C" w:rsidRDefault="009B4996" w:rsidP="009B4996">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9B4996" w:rsidRPr="00F32F81" w:rsidRDefault="009B4996" w:rsidP="009B4996">
            <w:pPr>
              <w:jc w:val="right"/>
              <w:rPr>
                <w:b/>
                <w:sz w:val="20"/>
                <w:szCs w:val="20"/>
              </w:rPr>
            </w:pPr>
            <w:r w:rsidRPr="00FB7ABB">
              <w:rPr>
                <w:b/>
                <w:noProof/>
                <w:sz w:val="20"/>
                <w:szCs w:val="20"/>
              </w:rPr>
              <w:t>5.037</w:t>
            </w:r>
          </w:p>
        </w:tc>
        <w:tc>
          <w:tcPr>
            <w:tcW w:w="1843" w:type="dxa"/>
            <w:tcBorders>
              <w:bottom w:val="single" w:sz="4" w:space="0" w:color="auto"/>
            </w:tcBorders>
            <w:shd w:val="clear" w:color="auto" w:fill="BFBFBF" w:themeFill="background1" w:themeFillShade="BF"/>
          </w:tcPr>
          <w:p w:rsidR="009B4996" w:rsidRPr="00F32F81" w:rsidRDefault="009B4996" w:rsidP="009B4996">
            <w:pPr>
              <w:jc w:val="right"/>
              <w:rPr>
                <w:b/>
                <w:sz w:val="20"/>
                <w:szCs w:val="20"/>
              </w:rPr>
            </w:pPr>
            <w:r w:rsidRPr="00FB7ABB">
              <w:rPr>
                <w:b/>
                <w:noProof/>
                <w:sz w:val="20"/>
                <w:szCs w:val="20"/>
              </w:rPr>
              <w:t>5.613</w:t>
            </w:r>
          </w:p>
        </w:tc>
        <w:tc>
          <w:tcPr>
            <w:tcW w:w="2126" w:type="dxa"/>
            <w:tcBorders>
              <w:bottom w:val="single" w:sz="4" w:space="0" w:color="auto"/>
            </w:tcBorders>
            <w:shd w:val="clear" w:color="auto" w:fill="BFBFBF" w:themeFill="background1" w:themeFillShade="BF"/>
          </w:tcPr>
          <w:p w:rsidR="009B4996" w:rsidRPr="00F32F81" w:rsidRDefault="009B4996" w:rsidP="009B4996">
            <w:pPr>
              <w:jc w:val="right"/>
              <w:rPr>
                <w:b/>
                <w:sz w:val="20"/>
                <w:szCs w:val="20"/>
              </w:rPr>
            </w:pPr>
            <w:r w:rsidRPr="00FB7ABB">
              <w:rPr>
                <w:b/>
                <w:noProof/>
                <w:sz w:val="20"/>
                <w:szCs w:val="20"/>
              </w:rPr>
              <w:t>5.911</w:t>
            </w:r>
          </w:p>
        </w:tc>
      </w:tr>
      <w:tr w:rsidR="009B4996" w:rsidTr="00724FAB">
        <w:tc>
          <w:tcPr>
            <w:tcW w:w="3256" w:type="dxa"/>
            <w:tcBorders>
              <w:bottom w:val="single" w:sz="4" w:space="0" w:color="auto"/>
            </w:tcBorders>
            <w:shd w:val="clear" w:color="auto" w:fill="auto"/>
          </w:tcPr>
          <w:p w:rsidR="009B4996" w:rsidRPr="00F26FCF" w:rsidRDefault="009B4996" w:rsidP="009B4996">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9B4996" w:rsidRPr="00B25405" w:rsidRDefault="009B4996" w:rsidP="009B4996">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9B4996" w:rsidRPr="00B25405" w:rsidRDefault="009B4996" w:rsidP="009B4996">
            <w:pPr>
              <w:jc w:val="right"/>
              <w:rPr>
                <w:sz w:val="20"/>
                <w:szCs w:val="20"/>
              </w:rPr>
            </w:pPr>
            <w:r w:rsidRPr="00FB7ABB">
              <w:rPr>
                <w:noProof/>
                <w:sz w:val="20"/>
                <w:szCs w:val="20"/>
              </w:rPr>
              <w:t>-0.283</w:t>
            </w:r>
          </w:p>
        </w:tc>
        <w:tc>
          <w:tcPr>
            <w:tcW w:w="2126" w:type="dxa"/>
            <w:tcBorders>
              <w:bottom w:val="single" w:sz="4" w:space="0" w:color="auto"/>
            </w:tcBorders>
            <w:shd w:val="clear" w:color="auto" w:fill="auto"/>
          </w:tcPr>
          <w:p w:rsidR="009B4996" w:rsidRPr="00B25405" w:rsidRDefault="009B4996" w:rsidP="009B4996">
            <w:pPr>
              <w:jc w:val="right"/>
              <w:rPr>
                <w:sz w:val="20"/>
                <w:szCs w:val="20"/>
              </w:rPr>
            </w:pPr>
            <w:r w:rsidRPr="00FB7ABB">
              <w:rPr>
                <w:noProof/>
                <w:sz w:val="20"/>
                <w:szCs w:val="20"/>
              </w:rPr>
              <w:t>-0.424</w:t>
            </w:r>
          </w:p>
        </w:tc>
      </w:tr>
      <w:tr w:rsidR="009B4996" w:rsidTr="00724FAB">
        <w:tc>
          <w:tcPr>
            <w:tcW w:w="3256" w:type="dxa"/>
            <w:tcBorders>
              <w:bottom w:val="single" w:sz="4" w:space="0" w:color="auto"/>
            </w:tcBorders>
            <w:shd w:val="clear" w:color="auto" w:fill="AEAAAA" w:themeFill="background2" w:themeFillShade="BF"/>
          </w:tcPr>
          <w:p w:rsidR="009B4996" w:rsidRPr="00F26FCF" w:rsidRDefault="009B4996" w:rsidP="009B4996">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9B4996" w:rsidRPr="00F32F81" w:rsidRDefault="009B4996" w:rsidP="009B4996">
            <w:pPr>
              <w:jc w:val="right"/>
              <w:rPr>
                <w:b/>
                <w:sz w:val="20"/>
                <w:szCs w:val="20"/>
              </w:rPr>
            </w:pPr>
            <w:r w:rsidRPr="00FB7ABB">
              <w:rPr>
                <w:b/>
                <w:noProof/>
                <w:sz w:val="20"/>
                <w:szCs w:val="20"/>
              </w:rPr>
              <w:t>5.037</w:t>
            </w:r>
          </w:p>
        </w:tc>
        <w:tc>
          <w:tcPr>
            <w:tcW w:w="1843" w:type="dxa"/>
            <w:tcBorders>
              <w:bottom w:val="single" w:sz="4" w:space="0" w:color="auto"/>
            </w:tcBorders>
            <w:shd w:val="clear" w:color="auto" w:fill="AEAAAA" w:themeFill="background2" w:themeFillShade="BF"/>
          </w:tcPr>
          <w:p w:rsidR="009B4996" w:rsidRPr="00F32F81" w:rsidRDefault="009B4996" w:rsidP="009B4996">
            <w:pPr>
              <w:jc w:val="right"/>
              <w:rPr>
                <w:b/>
                <w:sz w:val="20"/>
                <w:szCs w:val="20"/>
              </w:rPr>
            </w:pPr>
            <w:r w:rsidRPr="00FB7ABB">
              <w:rPr>
                <w:b/>
                <w:noProof/>
                <w:sz w:val="20"/>
                <w:szCs w:val="20"/>
              </w:rPr>
              <w:t>5.330</w:t>
            </w:r>
          </w:p>
        </w:tc>
        <w:tc>
          <w:tcPr>
            <w:tcW w:w="2126" w:type="dxa"/>
            <w:tcBorders>
              <w:bottom w:val="single" w:sz="4" w:space="0" w:color="auto"/>
            </w:tcBorders>
            <w:shd w:val="clear" w:color="auto" w:fill="AEAAAA" w:themeFill="background2" w:themeFillShade="BF"/>
          </w:tcPr>
          <w:p w:rsidR="009B4996" w:rsidRPr="00F32F81" w:rsidRDefault="009B4996" w:rsidP="009B4996">
            <w:pPr>
              <w:jc w:val="right"/>
              <w:rPr>
                <w:b/>
                <w:sz w:val="20"/>
                <w:szCs w:val="20"/>
              </w:rPr>
            </w:pPr>
            <w:r w:rsidRPr="00FB7ABB">
              <w:rPr>
                <w:b/>
                <w:noProof/>
                <w:sz w:val="20"/>
                <w:szCs w:val="20"/>
              </w:rPr>
              <w:t>5.487</w:t>
            </w:r>
          </w:p>
        </w:tc>
      </w:tr>
      <w:tr w:rsidR="009B4996" w:rsidTr="00724FAB">
        <w:tc>
          <w:tcPr>
            <w:tcW w:w="3256" w:type="dxa"/>
            <w:shd w:val="clear" w:color="auto" w:fill="auto"/>
          </w:tcPr>
          <w:p w:rsidR="009B4996" w:rsidRPr="00B25405" w:rsidRDefault="009B4996" w:rsidP="009B4996">
            <w:pPr>
              <w:rPr>
                <w:sz w:val="20"/>
                <w:szCs w:val="20"/>
              </w:rPr>
            </w:pPr>
            <w:r>
              <w:rPr>
                <w:sz w:val="20"/>
                <w:szCs w:val="20"/>
              </w:rPr>
              <w:t>Proposed risk</w:t>
            </w:r>
            <w:r w:rsidRPr="00B25405">
              <w:rPr>
                <w:sz w:val="20"/>
                <w:szCs w:val="20"/>
              </w:rPr>
              <w:t xml:space="preserve"> reserve provision</w:t>
            </w:r>
            <w:r w:rsidR="00D80052">
              <w:rPr>
                <w:sz w:val="20"/>
                <w:szCs w:val="20"/>
              </w:rPr>
              <w:t xml:space="preserve"> (discrete year)</w:t>
            </w:r>
          </w:p>
        </w:tc>
        <w:tc>
          <w:tcPr>
            <w:tcW w:w="1984" w:type="dxa"/>
            <w:shd w:val="clear" w:color="auto" w:fill="auto"/>
          </w:tcPr>
          <w:p w:rsidR="009B4996" w:rsidRPr="00B25405" w:rsidRDefault="009B4996" w:rsidP="009B4996">
            <w:pPr>
              <w:jc w:val="right"/>
              <w:rPr>
                <w:sz w:val="20"/>
                <w:szCs w:val="20"/>
              </w:rPr>
            </w:pPr>
          </w:p>
        </w:tc>
        <w:tc>
          <w:tcPr>
            <w:tcW w:w="1843" w:type="dxa"/>
            <w:shd w:val="clear" w:color="auto" w:fill="auto"/>
          </w:tcPr>
          <w:p w:rsidR="009B4996" w:rsidRPr="00B25405" w:rsidRDefault="009B4996" w:rsidP="009B4996">
            <w:pPr>
              <w:jc w:val="right"/>
              <w:rPr>
                <w:sz w:val="20"/>
                <w:szCs w:val="20"/>
              </w:rPr>
            </w:pPr>
            <w:r w:rsidRPr="00FB7ABB">
              <w:rPr>
                <w:noProof/>
                <w:sz w:val="20"/>
                <w:szCs w:val="20"/>
              </w:rPr>
              <w:t>0.000</w:t>
            </w:r>
          </w:p>
        </w:tc>
        <w:tc>
          <w:tcPr>
            <w:tcW w:w="2126" w:type="dxa"/>
            <w:shd w:val="clear" w:color="auto" w:fill="auto"/>
          </w:tcPr>
          <w:p w:rsidR="009B4996" w:rsidRPr="00B25405" w:rsidRDefault="009B4996" w:rsidP="009B4996">
            <w:pPr>
              <w:jc w:val="right"/>
              <w:rPr>
                <w:sz w:val="20"/>
                <w:szCs w:val="20"/>
              </w:rPr>
            </w:pPr>
            <w:r w:rsidRPr="00FB7ABB">
              <w:rPr>
                <w:noProof/>
                <w:sz w:val="20"/>
                <w:szCs w:val="20"/>
              </w:rPr>
              <w:t>0.000</w:t>
            </w:r>
          </w:p>
        </w:tc>
      </w:tr>
      <w:tr w:rsidR="009B4996" w:rsidTr="00724FAB">
        <w:tc>
          <w:tcPr>
            <w:tcW w:w="3256" w:type="dxa"/>
          </w:tcPr>
          <w:p w:rsidR="009B4996" w:rsidRDefault="009B4996" w:rsidP="009B4996">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9B4996" w:rsidRPr="00B25405" w:rsidRDefault="009B4996" w:rsidP="009B4996">
            <w:pPr>
              <w:rPr>
                <w:sz w:val="20"/>
                <w:szCs w:val="20"/>
              </w:rPr>
            </w:pPr>
          </w:p>
        </w:tc>
        <w:tc>
          <w:tcPr>
            <w:tcW w:w="5953" w:type="dxa"/>
            <w:gridSpan w:val="3"/>
          </w:tcPr>
          <w:p w:rsidR="009B4996" w:rsidRDefault="009B4996" w:rsidP="009B4996">
            <w:pPr>
              <w:rPr>
                <w:sz w:val="20"/>
                <w:szCs w:val="20"/>
              </w:rPr>
            </w:pPr>
            <w:r>
              <w:rPr>
                <w:sz w:val="20"/>
                <w:szCs w:val="20"/>
              </w:rPr>
              <w:t>To cease provision of discretionary denominational transport subsidies for all pupils who do not attend their nearest school but attend their nearest faith school on faith grounds. The decision will be implemented from 1</w:t>
            </w:r>
            <w:r w:rsidRPr="009A4704">
              <w:rPr>
                <w:sz w:val="20"/>
                <w:szCs w:val="20"/>
                <w:vertAlign w:val="superscript"/>
              </w:rPr>
              <w:t>st</w:t>
            </w:r>
            <w:r>
              <w:rPr>
                <w:sz w:val="20"/>
                <w:szCs w:val="20"/>
              </w:rPr>
              <w:t xml:space="preserve"> September 2016 to coincide with the new academic year.</w:t>
            </w:r>
          </w:p>
          <w:p w:rsidR="009B4996" w:rsidRPr="00B25405" w:rsidRDefault="009B4996" w:rsidP="009B4996">
            <w:pPr>
              <w:rPr>
                <w:sz w:val="20"/>
                <w:szCs w:val="20"/>
              </w:rPr>
            </w:pPr>
          </w:p>
        </w:tc>
      </w:tr>
      <w:tr w:rsidR="009B4996" w:rsidTr="00724FAB">
        <w:tc>
          <w:tcPr>
            <w:tcW w:w="3256" w:type="dxa"/>
          </w:tcPr>
          <w:p w:rsidR="009B4996" w:rsidRPr="0066742C" w:rsidRDefault="009B4996" w:rsidP="009B4996">
            <w:pPr>
              <w:rPr>
                <w:sz w:val="20"/>
                <w:szCs w:val="20"/>
              </w:rPr>
            </w:pPr>
            <w:r>
              <w:rPr>
                <w:sz w:val="20"/>
                <w:szCs w:val="20"/>
              </w:rPr>
              <w:t>Impact on service</w:t>
            </w:r>
          </w:p>
        </w:tc>
        <w:tc>
          <w:tcPr>
            <w:tcW w:w="5953" w:type="dxa"/>
            <w:gridSpan w:val="3"/>
          </w:tcPr>
          <w:p w:rsidR="009B4996" w:rsidRDefault="009B4996" w:rsidP="009B4996">
            <w:pPr>
              <w:rPr>
                <w:sz w:val="20"/>
                <w:szCs w:val="20"/>
              </w:rPr>
            </w:pPr>
            <w:r w:rsidRPr="009142BC">
              <w:rPr>
                <w:sz w:val="20"/>
                <w:szCs w:val="20"/>
              </w:rPr>
              <w:t>The service will only</w:t>
            </w:r>
            <w:r>
              <w:rPr>
                <w:sz w:val="20"/>
                <w:szCs w:val="20"/>
              </w:rPr>
              <w:t xml:space="preserve"> provide for:</w:t>
            </w:r>
          </w:p>
          <w:p w:rsidR="009B4996" w:rsidRPr="00443D49" w:rsidRDefault="009B4996" w:rsidP="009B4996">
            <w:pPr>
              <w:pStyle w:val="ListParagraph"/>
              <w:numPr>
                <w:ilvl w:val="0"/>
                <w:numId w:val="8"/>
              </w:numPr>
              <w:rPr>
                <w:sz w:val="20"/>
                <w:szCs w:val="20"/>
              </w:rPr>
            </w:pPr>
            <w:r w:rsidRPr="00443D49">
              <w:rPr>
                <w:sz w:val="20"/>
                <w:szCs w:val="20"/>
              </w:rPr>
              <w:t>those eligible for transport in accordance with statutory requirements</w:t>
            </w:r>
          </w:p>
          <w:p w:rsidR="009B4996" w:rsidRPr="00443D49" w:rsidRDefault="009B4996" w:rsidP="009B4996">
            <w:pPr>
              <w:pStyle w:val="ListParagraph"/>
              <w:numPr>
                <w:ilvl w:val="0"/>
                <w:numId w:val="8"/>
              </w:numPr>
              <w:rPr>
                <w:sz w:val="20"/>
                <w:szCs w:val="20"/>
              </w:rPr>
            </w:pPr>
            <w:r>
              <w:rPr>
                <w:sz w:val="20"/>
                <w:szCs w:val="20"/>
              </w:rPr>
              <w:t>F</w:t>
            </w:r>
            <w:r w:rsidRPr="00443D49">
              <w:rPr>
                <w:sz w:val="20"/>
                <w:szCs w:val="20"/>
              </w:rPr>
              <w:t>are payers who</w:t>
            </w:r>
            <w:r>
              <w:rPr>
                <w:sz w:val="20"/>
                <w:szCs w:val="20"/>
              </w:rPr>
              <w:t xml:space="preserve"> purchase season tickets to</w:t>
            </w:r>
            <w:r w:rsidRPr="00443D49">
              <w:rPr>
                <w:sz w:val="20"/>
                <w:szCs w:val="20"/>
              </w:rPr>
              <w:t xml:space="preserve"> travel on routes with surplus capacity </w:t>
            </w:r>
            <w:r>
              <w:rPr>
                <w:sz w:val="20"/>
                <w:szCs w:val="20"/>
              </w:rPr>
              <w:t xml:space="preserve">or where there is no additional net cost </w:t>
            </w:r>
            <w:r w:rsidRPr="00443D49">
              <w:rPr>
                <w:sz w:val="20"/>
                <w:szCs w:val="20"/>
              </w:rPr>
              <w:t xml:space="preserve">in order </w:t>
            </w:r>
            <w:r>
              <w:rPr>
                <w:sz w:val="20"/>
                <w:szCs w:val="20"/>
              </w:rPr>
              <w:t xml:space="preserve">for them </w:t>
            </w:r>
            <w:r w:rsidRPr="00443D49">
              <w:rPr>
                <w:sz w:val="20"/>
                <w:szCs w:val="20"/>
              </w:rPr>
              <w:t xml:space="preserve">to attend their preferred school. </w:t>
            </w:r>
          </w:p>
          <w:p w:rsidR="009B4996" w:rsidRPr="009142BC" w:rsidRDefault="009B4996" w:rsidP="009B4996">
            <w:pPr>
              <w:rPr>
                <w:sz w:val="20"/>
                <w:szCs w:val="20"/>
              </w:rPr>
            </w:pPr>
          </w:p>
        </w:tc>
      </w:tr>
      <w:tr w:rsidR="009B4996" w:rsidTr="00724FAB">
        <w:tc>
          <w:tcPr>
            <w:tcW w:w="3256" w:type="dxa"/>
          </w:tcPr>
          <w:p w:rsidR="009B4996" w:rsidRPr="00B25405" w:rsidRDefault="009B4996" w:rsidP="009B4996">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9B4996" w:rsidRDefault="009B4996" w:rsidP="009B4996">
            <w:pPr>
              <w:rPr>
                <w:sz w:val="20"/>
                <w:szCs w:val="20"/>
              </w:rPr>
            </w:pPr>
            <w:r>
              <w:rPr>
                <w:sz w:val="20"/>
                <w:szCs w:val="20"/>
              </w:rPr>
              <w:t>Consult with relevant groups regarding the reduction in service.</w:t>
            </w:r>
          </w:p>
          <w:p w:rsidR="009B4996" w:rsidRPr="00084304" w:rsidRDefault="009B4996" w:rsidP="009B4996">
            <w:pPr>
              <w:rPr>
                <w:sz w:val="20"/>
                <w:szCs w:val="20"/>
              </w:rPr>
            </w:pPr>
            <w:r>
              <w:rPr>
                <w:sz w:val="20"/>
                <w:szCs w:val="20"/>
              </w:rPr>
              <w:t>Cease provision of discretionary denominational transport subsidies from 1 September 2016.</w:t>
            </w:r>
          </w:p>
        </w:tc>
      </w:tr>
      <w:tr w:rsidR="009B4996" w:rsidTr="00724FAB">
        <w:tc>
          <w:tcPr>
            <w:tcW w:w="3256" w:type="dxa"/>
          </w:tcPr>
          <w:p w:rsidR="009B4996" w:rsidRPr="00B25405" w:rsidRDefault="009B4996" w:rsidP="009B4996">
            <w:pPr>
              <w:rPr>
                <w:sz w:val="20"/>
                <w:szCs w:val="20"/>
              </w:rPr>
            </w:pPr>
            <w:r>
              <w:rPr>
                <w:sz w:val="20"/>
                <w:szCs w:val="20"/>
              </w:rPr>
              <w:t>Equality Analysis</w:t>
            </w:r>
          </w:p>
        </w:tc>
        <w:tc>
          <w:tcPr>
            <w:tcW w:w="5953" w:type="dxa"/>
            <w:gridSpan w:val="3"/>
          </w:tcPr>
          <w:p w:rsidR="009B4996" w:rsidRDefault="009B4996" w:rsidP="009B4996">
            <w:pPr>
              <w:rPr>
                <w:sz w:val="20"/>
                <w:szCs w:val="20"/>
              </w:rPr>
            </w:pPr>
            <w:r>
              <w:rPr>
                <w:sz w:val="20"/>
                <w:szCs w:val="20"/>
              </w:rPr>
              <w:t xml:space="preserve"> </w:t>
            </w:r>
            <w:hyperlink r:id="rId5" w:history="1">
              <w:r w:rsidR="003F4C19">
                <w:rPr>
                  <w:rStyle w:val="Hyperlink"/>
                  <w:sz w:val="20"/>
                  <w:szCs w:val="20"/>
                </w:rPr>
                <w:t>Click here to view d</w:t>
              </w:r>
              <w:bookmarkStart w:id="0" w:name="_GoBack"/>
              <w:bookmarkEnd w:id="0"/>
              <w:r w:rsidR="003F4C19">
                <w:rPr>
                  <w:rStyle w:val="Hyperlink"/>
                  <w:sz w:val="20"/>
                  <w:szCs w:val="20"/>
                </w:rPr>
                <w:t>o</w:t>
              </w:r>
              <w:r w:rsidR="003F4C19">
                <w:rPr>
                  <w:rStyle w:val="Hyperlink"/>
                  <w:sz w:val="20"/>
                  <w:szCs w:val="20"/>
                </w:rPr>
                <w:t>cument</w:t>
              </w:r>
            </w:hyperlink>
          </w:p>
          <w:p w:rsidR="003F4C19" w:rsidRPr="008039DA" w:rsidRDefault="003F4C19" w:rsidP="009B4996">
            <w:pPr>
              <w:rPr>
                <w:sz w:val="20"/>
                <w:szCs w:val="20"/>
              </w:rPr>
            </w:pPr>
          </w:p>
        </w:tc>
      </w:tr>
    </w:tbl>
    <w:p w:rsidR="00AC2618" w:rsidRDefault="00AC2618" w:rsidP="00FE192E">
      <w:pPr>
        <w:keepNext/>
        <w:rPr>
          <w:b/>
          <w:sz w:val="20"/>
          <w:szCs w:val="20"/>
        </w:rPr>
      </w:pPr>
    </w:p>
    <w:p w:rsidR="00DD7294" w:rsidRPr="007D6DAD" w:rsidRDefault="00DD7294" w:rsidP="00FE192E">
      <w:pPr>
        <w:keepNext/>
        <w:rPr>
          <w:b/>
          <w:sz w:val="20"/>
          <w:szCs w:val="20"/>
        </w:rPr>
      </w:pPr>
      <w:r w:rsidRPr="007D6DAD">
        <w:rPr>
          <w:b/>
          <w:sz w:val="20"/>
          <w:szCs w:val="20"/>
        </w:rPr>
        <w:t>What does this service deliver?</w:t>
      </w:r>
    </w:p>
    <w:p w:rsidR="00DD7294" w:rsidRDefault="00DD7294" w:rsidP="00FE192E">
      <w:pPr>
        <w:keepNext/>
        <w:rPr>
          <w:sz w:val="20"/>
          <w:szCs w:val="20"/>
        </w:rPr>
      </w:pPr>
      <w:r w:rsidRPr="00925AF1">
        <w:rPr>
          <w:sz w:val="20"/>
          <w:szCs w:val="20"/>
        </w:rPr>
        <w:t>The management of School Transport contracts for eligible passengers from the ages of 5-16, including denominational schools, and offers 'season tickets' for ineligible children where seating exists on existing journeys.</w:t>
      </w:r>
    </w:p>
    <w:p w:rsidR="009A4704" w:rsidRDefault="009A4704" w:rsidP="00925AF1">
      <w:pPr>
        <w:rPr>
          <w:sz w:val="20"/>
          <w:szCs w:val="20"/>
        </w:rPr>
      </w:pPr>
      <w:r>
        <w:rPr>
          <w:sz w:val="20"/>
          <w:szCs w:val="20"/>
        </w:rPr>
        <w:t>The service currently provides home to mainstream school transport for the following groups of pupils with no statutory entitlement to transport assistance:</w:t>
      </w:r>
    </w:p>
    <w:p w:rsidR="009A4704" w:rsidRDefault="009A4704" w:rsidP="009A4704">
      <w:pPr>
        <w:pStyle w:val="ListParagraph"/>
        <w:numPr>
          <w:ilvl w:val="0"/>
          <w:numId w:val="6"/>
        </w:numPr>
        <w:rPr>
          <w:sz w:val="20"/>
          <w:szCs w:val="20"/>
        </w:rPr>
      </w:pPr>
      <w:r>
        <w:rPr>
          <w:sz w:val="20"/>
          <w:szCs w:val="20"/>
        </w:rPr>
        <w:t>Discretionary denominational transport for pupils attending their nearest school on faith grounds and who currently pay a contributory charge</w:t>
      </w:r>
    </w:p>
    <w:p w:rsidR="009A4704" w:rsidRPr="009A4704" w:rsidRDefault="009A4704" w:rsidP="009A4704">
      <w:pPr>
        <w:pStyle w:val="ListParagraph"/>
        <w:numPr>
          <w:ilvl w:val="0"/>
          <w:numId w:val="6"/>
        </w:numPr>
        <w:rPr>
          <w:sz w:val="20"/>
          <w:szCs w:val="20"/>
        </w:rPr>
      </w:pPr>
      <w:r>
        <w:rPr>
          <w:sz w:val="20"/>
          <w:szCs w:val="20"/>
        </w:rPr>
        <w:t xml:space="preserve">Other fare payers who </w:t>
      </w:r>
      <w:r w:rsidR="008C38BC">
        <w:rPr>
          <w:sz w:val="20"/>
          <w:szCs w:val="20"/>
        </w:rPr>
        <w:t xml:space="preserve">purchase season tickets to </w:t>
      </w:r>
      <w:r>
        <w:rPr>
          <w:sz w:val="20"/>
          <w:szCs w:val="20"/>
        </w:rPr>
        <w:t>travel on routes with surplus capacity in order to attend their preferred school</w:t>
      </w:r>
      <w:r w:rsidR="008C38BC">
        <w:rPr>
          <w:sz w:val="20"/>
          <w:szCs w:val="20"/>
        </w:rPr>
        <w:t>.</w:t>
      </w:r>
    </w:p>
    <w:p w:rsidR="00DD7294" w:rsidRPr="007D6DAD" w:rsidRDefault="00DD7294" w:rsidP="00DD7294">
      <w:pPr>
        <w:pStyle w:val="ListParagraph"/>
        <w:rPr>
          <w:sz w:val="20"/>
          <w:szCs w:val="20"/>
        </w:rPr>
      </w:pPr>
    </w:p>
    <w:sectPr w:rsidR="00DD7294" w:rsidRPr="007D6DAD"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9D0"/>
    <w:multiLevelType w:val="hybridMultilevel"/>
    <w:tmpl w:val="44D2A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D1E5E"/>
    <w:multiLevelType w:val="hybridMultilevel"/>
    <w:tmpl w:val="38A8DA22"/>
    <w:lvl w:ilvl="0" w:tplc="C4629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A4A47"/>
    <w:multiLevelType w:val="hybridMultilevel"/>
    <w:tmpl w:val="B13853E2"/>
    <w:lvl w:ilvl="0" w:tplc="C46298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84670"/>
    <w:multiLevelType w:val="hybridMultilevel"/>
    <w:tmpl w:val="39A4B15C"/>
    <w:lvl w:ilvl="0" w:tplc="BD5E3BA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237F3A"/>
    <w:multiLevelType w:val="hybridMultilevel"/>
    <w:tmpl w:val="3DF8AF4E"/>
    <w:lvl w:ilvl="0" w:tplc="C46298A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E4C77"/>
    <w:multiLevelType w:val="hybridMultilevel"/>
    <w:tmpl w:val="17B60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10037"/>
    <w:rsid w:val="000319D0"/>
    <w:rsid w:val="00031A04"/>
    <w:rsid w:val="0008261A"/>
    <w:rsid w:val="000A1E5E"/>
    <w:rsid w:val="00104EC8"/>
    <w:rsid w:val="0017780F"/>
    <w:rsid w:val="001C7459"/>
    <w:rsid w:val="001E0306"/>
    <w:rsid w:val="001E5050"/>
    <w:rsid w:val="002C05ED"/>
    <w:rsid w:val="003069AE"/>
    <w:rsid w:val="00350B7C"/>
    <w:rsid w:val="003F4C19"/>
    <w:rsid w:val="00443D49"/>
    <w:rsid w:val="0047450A"/>
    <w:rsid w:val="004C7571"/>
    <w:rsid w:val="00544B85"/>
    <w:rsid w:val="005F316D"/>
    <w:rsid w:val="006508FB"/>
    <w:rsid w:val="00724FAB"/>
    <w:rsid w:val="007350D5"/>
    <w:rsid w:val="00761E88"/>
    <w:rsid w:val="007D6DAD"/>
    <w:rsid w:val="0081765D"/>
    <w:rsid w:val="008C38BC"/>
    <w:rsid w:val="008D4B83"/>
    <w:rsid w:val="009142BC"/>
    <w:rsid w:val="00925AF1"/>
    <w:rsid w:val="009A4704"/>
    <w:rsid w:val="009B4996"/>
    <w:rsid w:val="009D166F"/>
    <w:rsid w:val="009E0E49"/>
    <w:rsid w:val="00A77FC9"/>
    <w:rsid w:val="00A92244"/>
    <w:rsid w:val="00AC2618"/>
    <w:rsid w:val="00AC290E"/>
    <w:rsid w:val="00B45096"/>
    <w:rsid w:val="00C567BA"/>
    <w:rsid w:val="00CA70D7"/>
    <w:rsid w:val="00D44668"/>
    <w:rsid w:val="00D80052"/>
    <w:rsid w:val="00D8702A"/>
    <w:rsid w:val="00DA74D2"/>
    <w:rsid w:val="00DD7294"/>
    <w:rsid w:val="00E43803"/>
    <w:rsid w:val="00F6478C"/>
    <w:rsid w:val="00F678F4"/>
    <w:rsid w:val="00FE192E"/>
    <w:rsid w:val="00FF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5E584-9C1C-42DE-921B-305FC54F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character" w:styleId="Hyperlink">
    <w:name w:val="Hyperlink"/>
    <w:basedOn w:val="DefaultParagraphFont"/>
    <w:uiPriority w:val="99"/>
    <w:semiHidden/>
    <w:unhideWhenUsed/>
    <w:rsid w:val="003F4C19"/>
    <w:rPr>
      <w:color w:val="0563C1"/>
      <w:u w:val="single"/>
    </w:rPr>
  </w:style>
  <w:style w:type="character" w:styleId="FollowedHyperlink">
    <w:name w:val="FollowedHyperlink"/>
    <w:basedOn w:val="DefaultParagraphFont"/>
    <w:uiPriority w:val="99"/>
    <w:semiHidden/>
    <w:unhideWhenUsed/>
    <w:rsid w:val="001E0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2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SDDisplay.aspx?NAME=SD1422&amp;ID=1422&amp;RPID=7644225&amp;sch=doc&amp;cat=13868&amp;path=13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Parmar, Bhaveni</dc:creator>
  <cp:lastModifiedBy>Alker, Craig</cp:lastModifiedBy>
  <cp:revision>10</cp:revision>
  <dcterms:created xsi:type="dcterms:W3CDTF">2015-11-10T16:39:00Z</dcterms:created>
  <dcterms:modified xsi:type="dcterms:W3CDTF">2015-11-16T15:14:00Z</dcterms:modified>
</cp:coreProperties>
</file>